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F2B9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4BBDCAC">
      <w:pPr>
        <w:spacing w:line="540" w:lineRule="exact"/>
        <w:jc w:val="center"/>
        <w:rPr>
          <w:rFonts w:ascii="方正小标宋_GBK" w:hAnsi="华文中宋" w:eastAsia="方正小标宋_GBK" w:cs="宋体"/>
          <w:b/>
          <w:kern w:val="0"/>
          <w:sz w:val="48"/>
          <w:szCs w:val="48"/>
        </w:rPr>
      </w:pPr>
    </w:p>
    <w:p w14:paraId="3667EF3F">
      <w:pPr>
        <w:spacing w:line="540" w:lineRule="exact"/>
        <w:jc w:val="center"/>
        <w:rPr>
          <w:rFonts w:ascii="方正小标宋_GBK" w:hAnsi="华文中宋" w:eastAsia="方正小标宋_GBK" w:cs="宋体"/>
          <w:b/>
          <w:kern w:val="0"/>
          <w:sz w:val="48"/>
          <w:szCs w:val="48"/>
        </w:rPr>
      </w:pPr>
    </w:p>
    <w:p w14:paraId="40177015">
      <w:pPr>
        <w:spacing w:line="540" w:lineRule="exact"/>
        <w:jc w:val="center"/>
        <w:rPr>
          <w:rFonts w:ascii="方正小标宋_GBK" w:hAnsi="华文中宋" w:eastAsia="方正小标宋_GBK" w:cs="宋体"/>
          <w:b/>
          <w:kern w:val="0"/>
          <w:sz w:val="48"/>
          <w:szCs w:val="48"/>
        </w:rPr>
      </w:pPr>
    </w:p>
    <w:p w14:paraId="106AA8B1">
      <w:pPr>
        <w:spacing w:line="540" w:lineRule="exact"/>
        <w:jc w:val="center"/>
        <w:rPr>
          <w:rFonts w:ascii="方正小标宋_GBK" w:hAnsi="华文中宋" w:eastAsia="方正小标宋_GBK" w:cs="宋体"/>
          <w:b/>
          <w:kern w:val="0"/>
          <w:sz w:val="48"/>
          <w:szCs w:val="48"/>
        </w:rPr>
      </w:pPr>
    </w:p>
    <w:p w14:paraId="4BF6B4C4">
      <w:pPr>
        <w:spacing w:line="540" w:lineRule="exact"/>
        <w:jc w:val="center"/>
        <w:rPr>
          <w:rFonts w:ascii="方正小标宋_GBK" w:hAnsi="华文中宋" w:eastAsia="方正小标宋_GBK" w:cs="宋体"/>
          <w:b/>
          <w:kern w:val="0"/>
          <w:sz w:val="48"/>
          <w:szCs w:val="48"/>
        </w:rPr>
      </w:pPr>
    </w:p>
    <w:p w14:paraId="3891A35F">
      <w:pPr>
        <w:spacing w:line="540" w:lineRule="exact"/>
        <w:jc w:val="center"/>
        <w:rPr>
          <w:rFonts w:ascii="方正小标宋_GBK" w:hAnsi="华文中宋" w:eastAsia="方正小标宋_GBK" w:cs="宋体"/>
          <w:b/>
          <w:kern w:val="0"/>
          <w:sz w:val="48"/>
          <w:szCs w:val="48"/>
        </w:rPr>
      </w:pPr>
    </w:p>
    <w:p w14:paraId="71E0389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7E7841B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F7256B6">
      <w:pPr>
        <w:spacing w:line="540" w:lineRule="exact"/>
        <w:jc w:val="center"/>
        <w:rPr>
          <w:rFonts w:ascii="华文中宋" w:hAnsi="华文中宋" w:eastAsia="华文中宋" w:cs="宋体"/>
          <w:b/>
          <w:kern w:val="0"/>
          <w:sz w:val="52"/>
          <w:szCs w:val="52"/>
        </w:rPr>
      </w:pPr>
    </w:p>
    <w:p w14:paraId="16C09B5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C4A77E0">
      <w:pPr>
        <w:spacing w:line="700" w:lineRule="exact"/>
        <w:jc w:val="left"/>
        <w:rPr>
          <w:rFonts w:hint="eastAsia" w:hAnsi="宋体" w:eastAsia="仿宋_GB2312" w:cs="宋体"/>
          <w:kern w:val="0"/>
          <w:sz w:val="36"/>
          <w:szCs w:val="36"/>
        </w:rPr>
      </w:pPr>
    </w:p>
    <w:p w14:paraId="1D817E34">
      <w:pPr>
        <w:spacing w:line="700" w:lineRule="exact"/>
        <w:jc w:val="left"/>
        <w:rPr>
          <w:rFonts w:hint="eastAsia" w:hAnsi="宋体" w:eastAsia="仿宋_GB2312" w:cs="宋体"/>
          <w:kern w:val="0"/>
          <w:sz w:val="36"/>
          <w:szCs w:val="36"/>
        </w:rPr>
      </w:pPr>
    </w:p>
    <w:p w14:paraId="6E6DD6AE">
      <w:pPr>
        <w:spacing w:line="700" w:lineRule="exact"/>
        <w:jc w:val="left"/>
        <w:rPr>
          <w:rFonts w:hint="eastAsia" w:hAnsi="宋体" w:eastAsia="仿宋_GB2312" w:cs="宋体"/>
          <w:kern w:val="0"/>
          <w:sz w:val="36"/>
          <w:szCs w:val="36"/>
          <w:lang w:eastAsia="zh-CN"/>
        </w:rPr>
      </w:pPr>
    </w:p>
    <w:p w14:paraId="0AEE2707">
      <w:pPr>
        <w:spacing w:line="700" w:lineRule="exact"/>
        <w:jc w:val="left"/>
        <w:rPr>
          <w:rFonts w:hint="eastAsia" w:hAnsi="宋体" w:eastAsia="仿宋_GB2312" w:cs="宋体"/>
          <w:kern w:val="0"/>
          <w:sz w:val="36"/>
          <w:szCs w:val="36"/>
          <w:lang w:eastAsia="zh-CN"/>
        </w:rPr>
      </w:pPr>
    </w:p>
    <w:p w14:paraId="43211C0E">
      <w:pPr>
        <w:spacing w:line="700" w:lineRule="exact"/>
        <w:jc w:val="left"/>
        <w:rPr>
          <w:rFonts w:hint="eastAsia" w:hAnsi="宋体" w:eastAsia="仿宋_GB2312" w:cs="宋体"/>
          <w:kern w:val="0"/>
          <w:sz w:val="36"/>
          <w:szCs w:val="36"/>
          <w:lang w:eastAsia="zh-CN"/>
        </w:rPr>
      </w:pPr>
    </w:p>
    <w:p w14:paraId="2C8D37AC">
      <w:pPr>
        <w:spacing w:line="700" w:lineRule="exact"/>
        <w:jc w:val="left"/>
        <w:rPr>
          <w:rFonts w:hint="eastAsia" w:hAnsi="宋体" w:eastAsia="仿宋_GB2312" w:cs="宋体"/>
          <w:kern w:val="0"/>
          <w:sz w:val="36"/>
          <w:szCs w:val="36"/>
          <w:lang w:eastAsia="zh-CN"/>
        </w:rPr>
      </w:pPr>
    </w:p>
    <w:p w14:paraId="24CAA03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克州团委</w:t>
      </w:r>
    </w:p>
    <w:p w14:paraId="304AD5D2">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2022年04月29日</w:t>
      </w:r>
    </w:p>
    <w:p w14:paraId="0BD5A82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EF66C2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865F0C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带领全州各级团组织切实履行组织青年、引导青年、服务青年和维护青少年合法权益的职责，面向基层，服务大局，求真务实，奋发进取，充分发挥共青团组织作为党联系各族各界青少年的桥梁和纽带作用。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（1）团结、教育、引导青年坚持党的领导，坚持社会主义初级阶段的路线、方针、政策，在建设有中国特色社会主义实践中锻炼成为有理想、有道德、有文化、有纪律的一代新人。</w:t>
      </w:r>
      <w:r>
        <w:rPr>
          <w:rFonts w:hint="eastAsia" w:ascii="仿宋_GB2312" w:hAnsi="宋体" w:eastAsia="仿宋_GB2312"/>
          <w:b w:val="0"/>
          <w:bCs/>
          <w:sz w:val="32"/>
          <w:szCs w:val="32"/>
        </w:rPr>
        <w:cr/>
      </w:r>
      <w:r>
        <w:rPr>
          <w:rFonts w:hint="eastAsia" w:ascii="仿宋_GB2312" w:hAnsi="宋体" w:eastAsia="仿宋_GB2312"/>
          <w:b w:val="0"/>
          <w:bCs/>
          <w:sz w:val="32"/>
          <w:szCs w:val="32"/>
        </w:rPr>
        <w:t>　　（2）参与社会协商对话，民主管理和民主监督。积极向党和政府反映青少年的意愿和呼声，提出意见和建议，充分发挥民主参与和民主监督作用。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（3）拓展服务领域，推动青少年服务体系的建立和完善，发挥党的助手和后备军的作用。</w:t>
      </w:r>
      <w:r>
        <w:rPr>
          <w:rFonts w:hint="eastAsia" w:ascii="仿宋_GB2312" w:hAnsi="宋体" w:eastAsia="仿宋_GB2312"/>
          <w:b w:val="0"/>
          <w:bCs/>
          <w:sz w:val="32"/>
          <w:szCs w:val="32"/>
        </w:rPr>
        <w:cr/>
      </w:r>
      <w:r>
        <w:rPr>
          <w:rFonts w:hint="eastAsia" w:ascii="仿宋_GB2312" w:hAnsi="宋体" w:eastAsia="仿宋_GB2312"/>
          <w:b w:val="0"/>
          <w:bCs/>
          <w:sz w:val="32"/>
          <w:szCs w:val="32"/>
        </w:rPr>
        <w:t>　　（4）将共青团的工作重心放到基层，努力形成全团抓基层、全团抓落实的局面。</w:t>
      </w:r>
      <w:r>
        <w:rPr>
          <w:rFonts w:hint="eastAsia" w:ascii="仿宋_GB2312" w:hAnsi="宋体" w:eastAsia="仿宋_GB2312"/>
          <w:b w:val="0"/>
          <w:bCs/>
          <w:sz w:val="32"/>
          <w:szCs w:val="32"/>
        </w:rPr>
        <w:cr/>
      </w:r>
      <w:r>
        <w:rPr>
          <w:rFonts w:hint="eastAsia" w:ascii="仿宋_GB2312" w:hAnsi="宋体" w:eastAsia="仿宋_GB2312"/>
          <w:b w:val="0"/>
          <w:bCs/>
          <w:sz w:val="32"/>
          <w:szCs w:val="32"/>
        </w:rPr>
        <w:t>　　（5）积极创新基层组织制度，使共青团的基层组织建设方式从依托单位设置为主转变为适应团员青年就业、生活的具体情况灵活设置；从自上而下管理为主转变为科学管理与加强团内民主、提高团员青年参与的积极性相结合；从支部为活动主题转变为基层团委与支部共同成为活动主题，全面活跃基层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（6）进一步完善青少年维权体系，开展权益工作，拖动青少年工作手段的现代化，全心全意为青少年服务。</w:t>
      </w:r>
      <w:r>
        <w:rPr>
          <w:rFonts w:hint="eastAsia" w:ascii="仿宋_GB2312" w:hAnsi="宋体" w:eastAsia="仿宋_GB2312"/>
          <w:b w:val="0"/>
          <w:bCs/>
          <w:sz w:val="32"/>
          <w:szCs w:val="32"/>
        </w:rPr>
        <w:cr/>
      </w:r>
      <w:r>
        <w:rPr>
          <w:rFonts w:hint="eastAsia" w:ascii="仿宋_GB2312" w:hAnsi="宋体" w:eastAsia="仿宋_GB2312"/>
          <w:b w:val="0"/>
          <w:bCs/>
          <w:sz w:val="32"/>
          <w:szCs w:val="32"/>
        </w:rPr>
        <w:t>　　（7）负责全州共青团基层组织建设，团干部队伍建设、团员队伍建设和“双推”工作，开展青农、青工、希望工程、统战站线的指导、组织、宣传工作。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（8）进一步完善青联、学联工作制度，加强对青联、学联、少先队等青少年工作的指导和帮助。</w:t>
      </w:r>
      <w:r>
        <w:rPr>
          <w:rFonts w:hint="eastAsia" w:ascii="仿宋_GB2312" w:hAnsi="宋体" w:eastAsia="仿宋_GB2312"/>
          <w:b w:val="0"/>
          <w:bCs/>
          <w:sz w:val="32"/>
          <w:szCs w:val="32"/>
        </w:rPr>
        <w:cr/>
      </w:r>
      <w:r>
        <w:rPr>
          <w:rFonts w:hint="eastAsia" w:ascii="仿宋_GB2312" w:hAnsi="宋体" w:eastAsia="仿宋_GB2312"/>
          <w:b w:val="0"/>
          <w:bCs/>
          <w:sz w:val="32"/>
          <w:szCs w:val="32"/>
        </w:rPr>
        <w:t>　　（9）承办自治州党委、人民政府交办的其他事项。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2.机构设置及人员情况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克州团委现有2个内设部室，分别是机关团委、学少部，下设克孜勒苏柯尔克孜自治州青少年发展中心、克孜勒苏柯尔克孜自治州青年就业志愿服务中心2个直属事业单位（非独立核算，合并办公）。</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编制共计13人，其中行政群众团体人员编5人，事业编7人，工勤编1人。年末实有人数9人，其中行政群众团体人员7人，事业人员1人,工勤人员1人。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坚持以习近平新时代中国特色社会主义思想为指导，强化政治意识，全面加强思想政治建设。加强离退休干部理论学习，进一步巩固“不忘初心、牢记使命”主题教育成果坚持把学习贯彻习近平新时代中国特色社会主义思想、中央治疆方略、新疆工作总目标作为根本任务，经常组织团委青年党员团员学习主题内容，</w:t>
      </w:r>
      <w:r>
        <w:rPr>
          <w:rFonts w:hint="eastAsia" w:ascii="仿宋_GB2312" w:hAnsi="宋体" w:eastAsia="仿宋_GB2312"/>
          <w:b w:val="0"/>
          <w:bCs/>
          <w:sz w:val="32"/>
          <w:szCs w:val="32"/>
          <w:lang w:eastAsia="zh-CN"/>
        </w:rPr>
        <w:t>增强“四个意识”、坚定“四个自信”、做到“两个维护”</w:t>
      </w:r>
      <w:r>
        <w:rPr>
          <w:rFonts w:hint="eastAsia" w:ascii="仿宋_GB2312" w:hAnsi="宋体" w:eastAsia="仿宋_GB2312"/>
          <w:b w:val="0"/>
          <w:bCs/>
          <w:sz w:val="32"/>
          <w:szCs w:val="32"/>
        </w:rPr>
        <w:t>，团结带领全州广大团员青年在全面建成小康社会收官之年展现青春风采、作出积极贡献。</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团委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188.54万元，项目支出安排资金13.94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本单位2021年度项目支出13.94万元，涉及项目数量4个，其中：重点项目支出8万元，涉及重点项目数量1个，重点项目支出与部门项目总支出的比率为57.39%。</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2021年度本单位年初批复部门预算资金总额为141.44万元，年中调增预算总额为65.32万元，调整后全年预算资金总额为206.76万元。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2021年度本单位部门整体支出资金总额为202.48万元，预算执行率为97.93%，预算调整率为</w:t>
      </w:r>
      <w:r>
        <w:rPr>
          <w:rFonts w:hint="eastAsia" w:ascii="仿宋_GB2312" w:hAnsi="宋体" w:eastAsia="仿宋_GB2312"/>
          <w:b w:val="0"/>
          <w:bCs/>
          <w:sz w:val="32"/>
          <w:szCs w:val="32"/>
          <w:lang w:val="en-US" w:eastAsia="zh-CN"/>
        </w:rPr>
        <w:t>46.18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年初政府采购预算数为9.34万元，实际政府采购数为0万元，政府采购执行率为0%。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5FF4633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5E63DF1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为加强我单位预算管理、规范财务行为我单位制定了《克州团委内部控制规范》《克州团委项目管理规范》等资金管理制度，已建立制度均健全且有效运行。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2021年度我单位基本支出预算总额为192.82万元，其中人员经费144.54万元，公用经费48.29万元。实际执行总额为188.54万元，预算执行率97.78%。</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2.23万元，比上年增加0.52万元，增加30.42%，主要原因是：单位修车费增加。其中，因公出国（境）费支出0万元；公务用车购置及运行维护费支出1.60万元；公务接待费支出0.63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与年初预算数相比情况：一般公共预算“三公”经费支出年初预算数4.4万元，预算执行数为2.23万元，执行率为50.68%，主要原因是：按照厉行节约的要求，2021年缩减公务车运行维护费，因此支出随之减少。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2021年度本单位项目支出预算总额为13.94万元，实际执行资金总额为13.94万元，预算执行率为100%。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2021年度预算安排本级财力资金13.94万元，实际支出资金13.94万元，预算执行率为100%，涉及项目个数4个，各项目详细执行情况如下：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西部计划志愿者工作经费项目:全年预算数为8万元，预算执行数为8万元，预算执行率为100%。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少工委工作经费项目:全年预算数为1.5万元，预算执行数为1.5万元，预算执行率为100%。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青年联合会工作经费项目:全年预算数为2万元，预算执行数为2万元，预算执行率为100%。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青联和少工委换届会议经费项目项目:全年预算数为2.44万元，预算执行数为2.44万元，预算执行率为100%。</w:t>
      </w:r>
    </w:p>
    <w:p w14:paraId="5A109B6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6D22AE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532FC42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61AFAFE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本单位2021年初资产合计数为31.05万元，年末资产合计数为56.56万元。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截止本年度固定资产账面净值16.68万元，年末实际在用固定资产16.68万元，固定资产利用率为100%。</w:t>
      </w:r>
    </w:p>
    <w:p w14:paraId="6D95B5C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9757A2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部门单位整体支出共设置一级指标3个，二级指标7个，三级指标19个，其中已完成三级指标19个，指标完成率为100%。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“保障人员数（人）”指标：预期指标值为=9人，实际完成指标值为9人，指标完成率为100%。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“召开年度工作会议（场）”指标：预期指标值为&gt;=1场，实际完成指标值为1次，指标完成率为100%。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“举办培训班（场）”指标：预期指标值为&gt;=2场，实际完成指标值为2场，指标完成率为100%。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“开展主题团队日活动（场）”指标：预期指标值为&gt;=36场，实际完成指标值为36场，指标完成率为100%。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“开展技能大赛（场）”指标：预期指标值为&gt;=2场，实际完成指标值为2场，指标完成率为100%。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“培训班学员结业率（%）”指标：预期指标值为&gt;=95%，实际完成指标值为95%，指标完成率为100%。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“开展每月主题团队日活动覆盖率（%）”指标：预期指标值为&gt;=95%，实际完成指标值为95%，指标完成率为100%。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“重点工作按时完成率（%）”指标：预期指标值为=100%，实际完成指标值为100%，指标完成率为100%。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“人员经费保障（万元）”指标：预期指标值为=122.18万元，实际完成指标值为122.18万元，指标完成率为100%。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“公用经费（万元）”指标：预期指标值为=7.76万元，实际完成指标值为7.76万元，指标完成率为100%。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“少工委工作经费（万元）”指标：预期指标值为=1.50万元，实际完成指标值为1.50万元，指标完成率为100%。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“青年联合会工作经费（万元）”指标：预期指标值为=2万元，实际完成指标值为2万元，指标完成率为100%。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“西部计划志愿者工作经费（万元）”指标：预期指标值为=8万元，实际完成指标值为8万元，指标完成率为100%。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“提升团员青年的精神面貌”指标：预期指标值为持续改善，实际完成指标值为持续改善，指标完成率为100%。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“增强团干部理论素质”指标：预期指标值为持续改善，实际完成指标值为持续改善，指标完成率为100%。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“增强青少年思想政治引领”指标：预期指标值为持续改善，实际完成指标值为持续改善，指标完成率为100%。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“受益干部职工满意率（%）”指标：预期指标值为&gt;=95%，实际完成指标值为&gt;=95%，指标完成率为100%。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“受益青少年满意率（%）”指标：预期指标值为&gt;=95%，实际完成指标值为&gt;=95%，指标完成率为100%。</w:t>
      </w:r>
    </w:p>
    <w:p w14:paraId="5E45E44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8580B5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5037BD0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05278AF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D863AAE"/>
    <w:rsid w:val="43F031F1"/>
    <w:rsid w:val="51C70EA9"/>
    <w:rsid w:val="54F842B6"/>
    <w:rsid w:val="5BEF3265"/>
    <w:rsid w:val="656071F2"/>
    <w:rsid w:val="6BF1756B"/>
    <w:rsid w:val="6DF01F04"/>
    <w:rsid w:val="6F5E1AA3"/>
    <w:rsid w:val="7E03319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7631</Words>
  <Characters>8030</Characters>
  <Lines>2</Lines>
  <Paragraphs>1</Paragraphs>
  <TotalTime>28</TotalTime>
  <ScaleCrop>false</ScaleCrop>
  <LinksUpToDate>false</LinksUpToDate>
  <CharactersWithSpaces>8280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2025-07-31T03:25:36Z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